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C" w:rsidRDefault="000F778C" w:rsidP="000F778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人能看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见安拉吗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632F65" w:rsidRDefault="00632F65" w:rsidP="00632F65">
      <w:pPr>
        <w:jc w:val="center"/>
      </w:pPr>
      <w:r>
        <w:rPr>
          <w:noProof/>
        </w:rPr>
        <w:drawing>
          <wp:inline distT="0" distB="0" distL="0" distR="0" wp14:anchorId="5DEC4F9F" wp14:editId="4DB76685">
            <wp:extent cx="2665095" cy="3289300"/>
            <wp:effectExtent l="0" t="0" r="1905" b="6350"/>
            <wp:docPr id="4" name="Picture 4" descr="http://www.islamreligion.com/articles/images/Can_we_see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/images/Can_we_see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人类的大脑真是妙不可言，尽管如此，在某些领域它还是有局限的。安拉的本体与人类大脑所想象的任何事物是不一样的。因此，如果有人一定要去想象安拉的本体，就会导致这些人自身思维的混乱。但是，人类也可以理解安拉的属性，而不需要开动脑筋徒劳地对安拉进行任何形象的描述。例如，安拉的属性之一就是“至恕的”（</w:t>
      </w:r>
      <w:r>
        <w:rPr>
          <w:i/>
          <w:iCs/>
          <w:color w:val="000000"/>
          <w:sz w:val="26"/>
          <w:szCs w:val="26"/>
          <w:lang w:eastAsia="zh-CN"/>
        </w:rPr>
        <w:t>al-Ghaffar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，即安拉是饶恕人的罪恶的。每个人都能理解这一属性的含义，因为这是人类对安拉属性的思考结果。由于犹太教徒和基督教徒对安拉的属性理解错误，所以他们对安拉属性的描述是混乱的、不一致的。犹太教的《旧约》是这样描述安拉的：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“神说，我们要照着我们的形像，按着我们的样式造人，使他们管理海里的鱼，空中的鸟，地上的牲畜，和全地，并地上所爬的一切昆虫。神就照着自己的形像造人，乃是照着他的形像造男造女。”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（《创世纪》</w:t>
      </w:r>
      <w:r>
        <w:rPr>
          <w:color w:val="000000"/>
          <w:sz w:val="26"/>
          <w:szCs w:val="26"/>
          <w:lang w:eastAsia="zh-CN"/>
        </w:rPr>
        <w:t>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  <w:lang w:eastAsia="zh-CN"/>
        </w:rPr>
        <w:t>26-27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更有甚者，某些教堂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摆放着长着白胡须的老头塑像或图像，认为那就是上帝的形象。米开朗基罗</w:t>
      </w:r>
      <w:bookmarkStart w:id="0" w:name="_ftnref1418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"http://www.islamreligion.com/cn/articles/331/" \l "_ftn14186"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米开朗基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罗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博那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罗蒂</w:instrText>
      </w:r>
      <w:r>
        <w:rPr>
          <w:color w:val="000000"/>
          <w:sz w:val="26"/>
          <w:szCs w:val="26"/>
          <w:lang w:eastAsia="zh-CN"/>
        </w:rPr>
        <w:instrText xml:space="preserve"> (Michelangelo Buonarroti, 1475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－</w:instrText>
      </w:r>
      <w:r>
        <w:rPr>
          <w:color w:val="000000"/>
          <w:sz w:val="26"/>
          <w:szCs w:val="26"/>
          <w:lang w:eastAsia="zh-CN"/>
        </w:rPr>
        <w:instrText>1564)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，意大利文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艺复兴时期的绘画家、雕塑家、建筑师和诗人，文艺复兴时期雕塑艺术最高峰的代表。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eastAsia="zh-CN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eastAsia="zh-CN"/>
        </w:rPr>
        <w:t xml:space="preserve">  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之流的人，在教堂里画了一些画，以此表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现上帝的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手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脸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hint="eastAsia"/>
          <w:color w:val="000000"/>
          <w:sz w:val="26"/>
          <w:szCs w:val="26"/>
          <w:lang w:eastAsia="zh-CN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绘画中的上帝长相老成，神色俱历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兰看来，上帝是不可以形象化的。如果有人以形象描述上帝，那将是一种叛经离道，或公然挑衅，诚如安拉在《古兰经》里讲述的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0F778C" w:rsidRDefault="000F778C" w:rsidP="000F778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任何物不似象他。他确是全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聪的，确是全明的。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）。</w:t>
      </w:r>
    </w:p>
    <w:p w:rsidR="000F778C" w:rsidRDefault="000F778C" w:rsidP="000F778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没有任何物可以做他的匹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敌。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112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0F778C" w:rsidRDefault="000F778C" w:rsidP="000F778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穆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萨圣人曾请求要看见安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拉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人的眼睛无法承受看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见安拉的巨大压力。安拉在《古兰经》中告诉我们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0F778C" w:rsidRDefault="000F778C" w:rsidP="000F778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众目不能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见他，他却能见众目。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103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选拔穆萨为使者，与他说了话，并赐他一些奇迹。据说穆萨圣人当时就想，既然安拉与他说了话，他也许能看见安拉吧。这个故事在《古兰经》中有记载。安拉这样告诉我们事情发生的经过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0F778C" w:rsidRDefault="000F778C" w:rsidP="000F778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萨为了我的会期而来，而且他的主对他说了话的时候，他说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我的主啊！求你昭示我，以便我看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见你。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你不能看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见我，但你看那座山吧。如果它能在它的本位上坚定，那末，你就能看见我。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对那座山微露光华的时候，他使那座山变成粉碎的。穆萨晕倒在地上。当他苏醒的时候，他说：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赞颂你超绝万物，我向你悔罪，我是首先信道的。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143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安拉明确指出，没有任何人能看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见安拉，这也包括伟大的先知穆萨在内。因为安拉是伟大的，世人的目光无法看见安拉。根据《古兰经》的记载，穆萨圣人认识到他的请求是错误的，正因为他犯了这样的错误，所以他寻求安拉的饶恕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F778C" w:rsidRDefault="000F778C" w:rsidP="000F778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先知穆罕默德活着的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时候，看见安拉了吗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进行了一次奇异的旅行，他穿越了七层天，与安拉会面。人们会这样想，既然先知在那次旅行中与安拉说了话，他也许目睹了安拉吧。先知的一位弟子艾布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赞尔就此事询问了先知，先知回答：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我只看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见了一道光明，我怎么能看见安拉呢？</w:t>
      </w:r>
      <w:r>
        <w:rPr>
          <w:b/>
          <w:bCs/>
          <w:color w:val="000000"/>
          <w:sz w:val="26"/>
          <w:szCs w:val="26"/>
        </w:rPr>
        <w:t>”</w:t>
      </w:r>
      <w:bookmarkStart w:id="1" w:name="_ftnref1418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"http://www.islamreligion.com/cn/articles/331/" \l "_ftn14187"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《穆斯林圣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训集》。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见的那道光明是怎样的呢？先知这样解释：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当然，安拉不睡眠，失眠不适于安拉。他是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压低秤盘的主，也是升高秤盘的主。白昼之前，夜晚到他那里；夜晚之前，白昼到他那里。他的帷幕就是光明。</w:t>
      </w:r>
      <w:proofErr w:type="gramStart"/>
      <w:r>
        <w:rPr>
          <w:color w:val="000000"/>
          <w:sz w:val="26"/>
          <w:szCs w:val="26"/>
        </w:rPr>
        <w:t>”</w:t>
      </w:r>
      <w:bookmarkStart w:id="2" w:name="_ftnref1418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"http://www.islamreligion.com/cn/articles/331/" \l "_ftn14188"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《穆斯林圣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训集》。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0F778C" w:rsidRDefault="000F778C" w:rsidP="000F778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在灵魂体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验中，一些人见主的情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况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有些人，包括那些自称是穆斯林的人，声称他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在灵魂体验中看见了安拉。又有一般人说体验包括看见光明，或者看见坐在宝座上的崇高者。就穆斯林而言，伴随这种体验的后果，就是减少伊斯兰的基本功修，如减少礼拜、斋戒等。在这个错误观点的误导下（有些人坚持这一错误的观点）他们认为：功修（礼拜、斋戒等）只不过是那些没有类似体验的普通人需要履行的工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对于这个问题，伊斯兰是怎样看待的？伊斯兰告诉我们，这是恶魔在迷惑世人，他欺骗那些愚昧无知的人，使他们相信这种体验。实际上，相信这一体验的人，已经迷路了。伊斯兰的基石之一就是启示给先知穆罕默德的法律，不可能人为改变或者取消。安拉既没有制定对某人非法的法律对另外一人是合法的，也没有通过这些人传达安拉的法律。安拉的法律只通过启示这一渠道传达给安拉的诸位使者。当人类最后一位使者去世后，这个渠道也就随之关闭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F778C" w:rsidRDefault="000F778C" w:rsidP="000F778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后世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见安拉的情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况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兰的信条中，今世人们不能看见安拉。但信士在后世能见安拉。即使如此，人们也不能完全对安拉一目了然。在《古兰经》和圣训中对此问题有清楚地阐述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复活的日子是人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们看见崇高伟大安拉的日子。</w:t>
      </w:r>
      <w:proofErr w:type="gramStart"/>
      <w:r>
        <w:rPr>
          <w:color w:val="000000"/>
          <w:sz w:val="26"/>
          <w:szCs w:val="26"/>
        </w:rPr>
        <w:t>”</w:t>
      </w:r>
      <w:bookmarkStart w:id="3" w:name="_ftnref1418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"http://www.islamreligion.com/cn/articles/331/" \l "_ftn14189"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《达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图尼》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、《达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尔米》。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兰经》是这样描述末日的情景的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0F778C" w:rsidRDefault="000F778C" w:rsidP="000F778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在那日，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许多面目是光华的，是仰视着他们的主的。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22-23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0F778C" w:rsidRDefault="000F778C" w:rsidP="000F778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问先知：在复活日，穆斯林能否看见安拉？先知回答：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们看团月时有什么障碍吗？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们回答：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先知接着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们就这样看见安拉，安拉和你们之间没有帷幕或中介人。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4" w:name="_ftnref1419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"http://www.islamreligion.com/cn/articles/331/" \l "_ftn14190"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安拉是乐园居民所享受的最大的恩惠。实际上，对于信士而言，看见安拉的欢乐比乐园里所有的享受加起来还要大。另一方面，不信道的人将被剥夺这一恩典。由此，他们遭受的痛苦比火狱中所有的痛苦加起来还要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F778C" w:rsidRDefault="000F778C" w:rsidP="000F778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0F778C" w:rsidRDefault="000F778C" w:rsidP="000F778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F778C" w:rsidRDefault="000F778C" w:rsidP="000F778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5" w:name="_ftn14186"/>
    <w:p w:rsidR="000F778C" w:rsidRDefault="000F778C" w:rsidP="000F778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"http://www.islamreligion.com/cn/articles/331/" \l "_ftnref14186"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米开朗基罗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博那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罗蒂</w:t>
      </w:r>
      <w:r>
        <w:rPr>
          <w:color w:val="000000"/>
          <w:sz w:val="22"/>
          <w:szCs w:val="22"/>
        </w:rPr>
        <w:t xml:space="preserve"> (Michelangelo Buonarroti, 1475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－</w:t>
      </w:r>
      <w:r>
        <w:rPr>
          <w:color w:val="000000"/>
          <w:sz w:val="22"/>
          <w:szCs w:val="22"/>
        </w:rPr>
        <w:t>1564)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，</w:t>
      </w:r>
      <w:hyperlink r:id="rId6" w:tgtFrame="_blank" w:history="1">
        <w:r>
          <w:rPr>
            <w:rStyle w:val="Hyperlink"/>
            <w:rFonts w:ascii="MS Mincho" w:eastAsia="MS Mincho" w:hAnsi="MS Mincho" w:cs="MS Mincho" w:hint="eastAsia"/>
            <w:color w:val="800080"/>
            <w:sz w:val="22"/>
            <w:szCs w:val="22"/>
          </w:rPr>
          <w:t>意大利</w:t>
        </w:r>
      </w:hyperlink>
      <w:hyperlink r:id="rId7" w:tgtFrame="_blank" w:history="1">
        <w:r>
          <w:rPr>
            <w:rStyle w:val="Hyperlink"/>
            <w:rFonts w:ascii="MS Mincho" w:eastAsia="MS Mincho" w:hAnsi="MS Mincho" w:cs="MS Mincho" w:hint="eastAsia"/>
            <w:color w:val="800080"/>
            <w:sz w:val="22"/>
            <w:szCs w:val="22"/>
          </w:rPr>
          <w:t>文</w:t>
        </w:r>
        <w:r>
          <w:rPr>
            <w:rStyle w:val="Hyperlink"/>
            <w:rFonts w:ascii="PMingLiU" w:eastAsia="PMingLiU" w:hAnsi="PMingLiU" w:cs="PMingLiU" w:hint="eastAsia"/>
            <w:color w:val="800080"/>
            <w:sz w:val="22"/>
            <w:szCs w:val="22"/>
          </w:rPr>
          <w:t>艺复兴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时期的绘画家、</w:t>
      </w:r>
      <w:hyperlink r:id="rId8" w:tgtFrame="_blank" w:history="1">
        <w:r>
          <w:rPr>
            <w:rStyle w:val="Hyperlink"/>
            <w:rFonts w:ascii="MS Mincho" w:eastAsia="MS Mincho" w:hAnsi="MS Mincho" w:cs="MS Mincho" w:hint="eastAsia"/>
            <w:color w:val="800080"/>
            <w:sz w:val="22"/>
            <w:szCs w:val="22"/>
          </w:rPr>
          <w:t>雕塑家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、</w:t>
      </w:r>
      <w:hyperlink r:id="rId9" w:tgtFrame="_blank" w:history="1">
        <w:r>
          <w:rPr>
            <w:rStyle w:val="Hyperlink"/>
            <w:rFonts w:ascii="MS Mincho" w:eastAsia="MS Mincho" w:hAnsi="MS Mincho" w:cs="MS Mincho" w:hint="eastAsia"/>
            <w:color w:val="800080"/>
            <w:sz w:val="22"/>
            <w:szCs w:val="22"/>
          </w:rPr>
          <w:t>建筑</w:t>
        </w:r>
        <w:r>
          <w:rPr>
            <w:rStyle w:val="Hyperlink"/>
            <w:rFonts w:ascii="PMingLiU" w:eastAsia="PMingLiU" w:hAnsi="PMingLiU" w:cs="PMingLiU" w:hint="eastAsia"/>
            <w:color w:val="800080"/>
            <w:sz w:val="22"/>
            <w:szCs w:val="22"/>
          </w:rPr>
          <w:t>师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和诗人，文艺复兴时期</w:t>
      </w:r>
      <w:hyperlink r:id="rId10" w:tgtFrame="_blank" w:history="1">
        <w:r>
          <w:rPr>
            <w:rStyle w:val="Hyperlink"/>
            <w:rFonts w:ascii="MS Mincho" w:eastAsia="MS Mincho" w:hAnsi="MS Mincho" w:cs="MS Mincho" w:hint="eastAsia"/>
            <w:color w:val="800080"/>
            <w:sz w:val="22"/>
            <w:szCs w:val="22"/>
          </w:rPr>
          <w:t>雕塑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艺术最高峰的代表。</w:t>
      </w:r>
    </w:p>
    <w:bookmarkStart w:id="6" w:name="_ftn14187"/>
    <w:p w:rsidR="000F778C" w:rsidRDefault="000F778C" w:rsidP="000F778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"http://www.islamreligion.com/cn/articles/331/" \l "_ftnref14187"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《穆斯林圣训集》。</w:t>
      </w:r>
    </w:p>
    <w:bookmarkStart w:id="7" w:name="_ftn14188"/>
    <w:p w:rsidR="000F778C" w:rsidRDefault="000F778C" w:rsidP="000F778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"http://www.islamreligion.com/cn/articles/331/" \l "_ftnref14188"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《穆斯林圣训集》。</w:t>
      </w:r>
    </w:p>
    <w:bookmarkStart w:id="8" w:name="_ftn14189"/>
    <w:p w:rsidR="000F778C" w:rsidRDefault="000F778C" w:rsidP="000F778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"http://www.islamreligion.com/cn/articles/331/" \l "_ftnref14189"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《达尔古图尼》、《达尔米》。</w:t>
      </w:r>
    </w:p>
    <w:bookmarkStart w:id="9" w:name="_ftn14190"/>
    <w:p w:rsidR="000F778C" w:rsidRDefault="000F778C" w:rsidP="000F778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"http://www.islamreligion.com/cn/articles/331/" \l "_ftnref14190"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《布哈里圣训实录》。</w:t>
      </w:r>
    </w:p>
    <w:p w:rsidR="007D1550" w:rsidRPr="00632F65" w:rsidRDefault="007D1550" w:rsidP="000F778C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10" w:name="_GoBack"/>
      <w:bookmarkEnd w:id="10"/>
    </w:p>
    <w:sectPr w:rsidR="007D1550" w:rsidRPr="00632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084E54"/>
    <w:rsid w:val="000F778C"/>
    <w:rsid w:val="002B05EC"/>
    <w:rsid w:val="00311885"/>
    <w:rsid w:val="003316D0"/>
    <w:rsid w:val="00381053"/>
    <w:rsid w:val="003D6F61"/>
    <w:rsid w:val="003F4216"/>
    <w:rsid w:val="00407D1B"/>
    <w:rsid w:val="00423AF8"/>
    <w:rsid w:val="00494E09"/>
    <w:rsid w:val="004C2684"/>
    <w:rsid w:val="00632F65"/>
    <w:rsid w:val="00702D97"/>
    <w:rsid w:val="007D1550"/>
    <w:rsid w:val="007E2181"/>
    <w:rsid w:val="0086248F"/>
    <w:rsid w:val="00897D4D"/>
    <w:rsid w:val="008D0160"/>
    <w:rsid w:val="00A36529"/>
    <w:rsid w:val="00A36884"/>
    <w:rsid w:val="00AA06D2"/>
    <w:rsid w:val="00AA0D74"/>
    <w:rsid w:val="00AA3CBD"/>
    <w:rsid w:val="00C470C6"/>
    <w:rsid w:val="00C83A24"/>
    <w:rsid w:val="00CC78B4"/>
    <w:rsid w:val="00CE5CD4"/>
    <w:rsid w:val="00DE00DF"/>
    <w:rsid w:val="00E32F9D"/>
    <w:rsid w:val="00ED41C4"/>
    <w:rsid w:val="00EF4ED5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DefaultParagraphFont"/>
    <w:rsid w:val="00EF4ED5"/>
  </w:style>
  <w:style w:type="character" w:styleId="Hyperlink">
    <w:name w:val="Hyperlink"/>
    <w:basedOn w:val="DefaultParagraphFont"/>
    <w:uiPriority w:val="99"/>
    <w:semiHidden/>
    <w:unhideWhenUsed/>
    <w:rsid w:val="000F7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DefaultParagraphFont"/>
    <w:rsid w:val="00EF4ED5"/>
  </w:style>
  <w:style w:type="character" w:styleId="Hyperlink">
    <w:name w:val="Hyperlink"/>
    <w:basedOn w:val="DefaultParagraphFont"/>
    <w:uiPriority w:val="99"/>
    <w:semiHidden/>
    <w:unhideWhenUsed/>
    <w:rsid w:val="000F7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71696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67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3784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aike.baidu.com/view/897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5192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2014-08-07T16:14:00Z</cp:lastPrinted>
  <dcterms:created xsi:type="dcterms:W3CDTF">2014-08-07T16:18:00Z</dcterms:created>
  <dcterms:modified xsi:type="dcterms:W3CDTF">2014-08-07T16:18:00Z</dcterms:modified>
</cp:coreProperties>
</file>